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41" w:rsidRDefault="00B15C41" w:rsidP="002339D5">
      <w:pPr>
        <w:jc w:val="center"/>
        <w:rPr>
          <w:b/>
        </w:rPr>
      </w:pPr>
      <w:r>
        <w:rPr>
          <w:b/>
        </w:rPr>
        <w:t>Detection of Ions in Solutions</w:t>
      </w:r>
      <w:r w:rsidR="00B56525">
        <w:rPr>
          <w:b/>
        </w:rPr>
        <w:t xml:space="preserve"> Using Acid/Base Che</w:t>
      </w:r>
      <w:r w:rsidR="00FE616F">
        <w:rPr>
          <w:b/>
        </w:rPr>
        <w:t>mistry</w:t>
      </w:r>
      <w:r>
        <w:rPr>
          <w:b/>
        </w:rPr>
        <w:t xml:space="preserve">: </w:t>
      </w:r>
      <w:r w:rsidR="00B56525">
        <w:rPr>
          <w:b/>
        </w:rPr>
        <w:t xml:space="preserve">Standardization of </w:t>
      </w:r>
      <w:proofErr w:type="spellStart"/>
      <w:r w:rsidR="00B56525">
        <w:rPr>
          <w:b/>
        </w:rPr>
        <w:t>NaOH</w:t>
      </w:r>
      <w:proofErr w:type="spellEnd"/>
      <w:r w:rsidR="00B56525">
        <w:rPr>
          <w:b/>
        </w:rPr>
        <w:t xml:space="preserve"> using KHP</w:t>
      </w:r>
    </w:p>
    <w:p w:rsidR="00B15C41" w:rsidRDefault="00B15C41" w:rsidP="00B15C41">
      <w:pPr>
        <w:rPr>
          <w:bCs/>
        </w:rPr>
      </w:pPr>
    </w:p>
    <w:p w:rsidR="00B15C41" w:rsidRDefault="00B15C41" w:rsidP="00B15C41">
      <w:pPr>
        <w:rPr>
          <w:bCs/>
        </w:rPr>
      </w:pPr>
      <w:r>
        <w:rPr>
          <w:bCs/>
        </w:rPr>
        <w:t>Objective:  This lab focuses on the detection of ions using titration as an analysis tool.  You will learn to prepare samples of a specified concentration, learn about acids and bases through the use of titrations and learn how to detect endpoints using different indicators.</w:t>
      </w:r>
      <w:r w:rsidR="00E22953">
        <w:rPr>
          <w:bCs/>
        </w:rPr>
        <w:t xml:space="preserve">  </w:t>
      </w:r>
    </w:p>
    <w:p w:rsidR="00874ACE" w:rsidRDefault="00874ACE" w:rsidP="00874ACE">
      <w:pPr>
        <w:rPr>
          <w:b/>
        </w:rPr>
      </w:pPr>
    </w:p>
    <w:p w:rsidR="009D777C" w:rsidRPr="009D777C" w:rsidRDefault="009D777C" w:rsidP="00874ACE">
      <w:pPr>
        <w:rPr>
          <w:b/>
        </w:rPr>
      </w:pPr>
      <w:r w:rsidRPr="009D777C">
        <w:rPr>
          <w:b/>
        </w:rPr>
        <w:t>What is a Titration?</w:t>
      </w:r>
    </w:p>
    <w:p w:rsidR="009D777C" w:rsidRDefault="00557CE8" w:rsidP="00874ACE">
      <w:r>
        <w:t xml:space="preserve">A titration is an analytical procedure used to determine the concentration of a sample by reacting it with a standard solution.  </w:t>
      </w:r>
      <w:r w:rsidR="003D67A3">
        <w:t>One type of</w:t>
      </w:r>
      <w:r>
        <w:t xml:space="preserve"> titration uses a neutralization reaction, in which an acid and a base react to produce a salt and water.</w:t>
      </w:r>
    </w:p>
    <w:p w:rsidR="00557CE8" w:rsidRDefault="00557CE8" w:rsidP="00874ACE"/>
    <w:p w:rsidR="00557CE8" w:rsidRPr="009D777C" w:rsidRDefault="00B56525" w:rsidP="00874ACE"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896620</wp:posOffset>
            </wp:positionH>
            <wp:positionV relativeFrom="paragraph">
              <wp:posOffset>0</wp:posOffset>
            </wp:positionV>
            <wp:extent cx="3623310" cy="198120"/>
            <wp:effectExtent l="19050" t="0" r="0" b="0"/>
            <wp:wrapNone/>
            <wp:docPr id="9" name="Picture 9" descr="Neutralization%20Re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eutralization%20Reacti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77C" w:rsidRDefault="009D777C" w:rsidP="00874ACE">
      <w:pPr>
        <w:rPr>
          <w:b/>
        </w:rPr>
      </w:pPr>
    </w:p>
    <w:p w:rsidR="00E428AA" w:rsidRDefault="00E428AA" w:rsidP="00874ACE">
      <w:r>
        <w:t xml:space="preserve">In equation 1, the acid is </w:t>
      </w:r>
      <w:proofErr w:type="spellStart"/>
      <w:r>
        <w:t>HCl</w:t>
      </w:r>
      <w:proofErr w:type="spellEnd"/>
      <w:r>
        <w:t xml:space="preserve"> (called hydrochloric acid) and the base is </w:t>
      </w:r>
      <w:proofErr w:type="spellStart"/>
      <w:r>
        <w:t>NaOH</w:t>
      </w:r>
      <w:proofErr w:type="spellEnd"/>
      <w:r>
        <w:t xml:space="preserve"> (called sodium hydroxide).  When the acid and base react, they form </w:t>
      </w:r>
      <w:proofErr w:type="spellStart"/>
      <w:r>
        <w:t>NaCl</w:t>
      </w:r>
      <w:proofErr w:type="spellEnd"/>
      <w:r>
        <w:t xml:space="preserve"> (sodium chloride)</w:t>
      </w:r>
      <w:r w:rsidR="00D51C6C">
        <w:t>,</w:t>
      </w:r>
      <w:r>
        <w:t xml:space="preserve"> which is also known as table salt.</w:t>
      </w:r>
      <w:r w:rsidR="0083065E">
        <w:t xml:space="preserve">  The titration proceeds until the equivalence point is reached, where the number of moles of acid </w:t>
      </w:r>
      <w:r w:rsidR="00D51C6C">
        <w:t>is</w:t>
      </w:r>
      <w:r w:rsidR="0083065E">
        <w:t xml:space="preserve"> equal to the number of moles of base.  This point is usually marked by observing a color change in an added indicator.</w:t>
      </w:r>
    </w:p>
    <w:p w:rsidR="009920D9" w:rsidRDefault="009920D9" w:rsidP="00874ACE"/>
    <w:p w:rsidR="009920D9" w:rsidRDefault="009920D9" w:rsidP="00874ACE">
      <w:r>
        <w:t xml:space="preserve">In a titration, the standard solution goes in a </w:t>
      </w:r>
      <w:proofErr w:type="spellStart"/>
      <w:r>
        <w:t>buret</w:t>
      </w:r>
      <w:proofErr w:type="spellEnd"/>
      <w:r>
        <w:t xml:space="preserve">, which is a piece of glassware used to measure the volume of solvent to approximately 0.1 </w:t>
      </w:r>
      <w:proofErr w:type="spellStart"/>
      <w:r>
        <w:t>mL</w:t>
      </w:r>
      <w:proofErr w:type="spellEnd"/>
      <w:r>
        <w:t xml:space="preserve"> of accuracy.  The solution that you are titrating goes in an Erlenmeyer flask, which should be large enough to accommodate both your sample and the standard solution you are adding.</w:t>
      </w:r>
    </w:p>
    <w:p w:rsidR="009920D9" w:rsidRDefault="0051289C" w:rsidP="00874ACE"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95885</wp:posOffset>
            </wp:positionV>
            <wp:extent cx="3429000" cy="2743200"/>
            <wp:effectExtent l="19050" t="0" r="0" b="0"/>
            <wp:wrapNone/>
            <wp:docPr id="14" name="Picture 14" descr="Titration%20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itration%20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20D9" w:rsidRDefault="009920D9" w:rsidP="00874ACE"/>
    <w:p w:rsidR="009920D9" w:rsidRDefault="009920D9" w:rsidP="00874ACE"/>
    <w:p w:rsidR="00E428AA" w:rsidRDefault="00E428AA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9920D9" w:rsidRDefault="009920D9" w:rsidP="00874ACE">
      <w:pPr>
        <w:rPr>
          <w:b/>
        </w:rPr>
      </w:pPr>
    </w:p>
    <w:p w:rsidR="003C20CF" w:rsidRDefault="003C20CF" w:rsidP="0083065E">
      <w:pPr>
        <w:rPr>
          <w:b/>
        </w:rPr>
      </w:pPr>
    </w:p>
    <w:p w:rsidR="00B56525" w:rsidRDefault="00B56525" w:rsidP="00B56525">
      <w:pPr>
        <w:rPr>
          <w:b/>
        </w:rPr>
      </w:pPr>
      <w:r>
        <w:rPr>
          <w:b/>
        </w:rPr>
        <w:t>Standardizing a Sodium Hydroxide (</w:t>
      </w:r>
      <w:proofErr w:type="spellStart"/>
      <w:r>
        <w:rPr>
          <w:b/>
        </w:rPr>
        <w:t>NaOH</w:t>
      </w:r>
      <w:proofErr w:type="spellEnd"/>
      <w:r>
        <w:rPr>
          <w:b/>
        </w:rPr>
        <w:t>) Solution</w:t>
      </w:r>
    </w:p>
    <w:p w:rsidR="00B56525" w:rsidRDefault="00B56525" w:rsidP="00B56525">
      <w:pPr>
        <w:rPr>
          <w:b/>
        </w:rPr>
      </w:pPr>
    </w:p>
    <w:p w:rsidR="00B56525" w:rsidRDefault="00B56525" w:rsidP="00B56525">
      <w:r>
        <w:t xml:space="preserve">In a titration, it is critical to know the exact concentration of the </w:t>
      </w:r>
      <w:proofErr w:type="spellStart"/>
      <w:r>
        <w:t>titrant</w:t>
      </w:r>
      <w:proofErr w:type="spellEnd"/>
      <w:r>
        <w:t xml:space="preserve"> (the solution in the </w:t>
      </w:r>
      <w:proofErr w:type="spellStart"/>
      <w:r>
        <w:t>buret</w:t>
      </w:r>
      <w:proofErr w:type="spellEnd"/>
      <w:r>
        <w:t xml:space="preserve"> which will be added to the unknown) in order to determine the concentration of the </w:t>
      </w:r>
      <w:proofErr w:type="gramStart"/>
      <w:r>
        <w:t>solution</w:t>
      </w:r>
      <w:proofErr w:type="gramEnd"/>
      <w:r>
        <w:t xml:space="preserve"> being tested.  We will standardize the ~0.1 M </w:t>
      </w:r>
      <w:proofErr w:type="spellStart"/>
      <w:r>
        <w:t>NaOH</w:t>
      </w:r>
      <w:proofErr w:type="spellEnd"/>
      <w:r>
        <w:t xml:space="preserve"> solution (the </w:t>
      </w:r>
      <w:proofErr w:type="spellStart"/>
      <w:r>
        <w:t>titrant</w:t>
      </w:r>
      <w:proofErr w:type="spellEnd"/>
      <w:r>
        <w:t xml:space="preserve">) with </w:t>
      </w:r>
      <w:r>
        <w:lastRenderedPageBreak/>
        <w:t>potassium hydrogen phthalate (KHP, KC</w:t>
      </w:r>
      <w:r w:rsidRPr="00441A75">
        <w:rPr>
          <w:vertAlign w:val="subscript"/>
        </w:rPr>
        <w:t>8</w:t>
      </w:r>
      <w:r>
        <w:t>H</w:t>
      </w:r>
      <w:r w:rsidRPr="00441A75">
        <w:rPr>
          <w:vertAlign w:val="subscript"/>
        </w:rPr>
        <w:t>4</w:t>
      </w:r>
      <w:r>
        <w:t>O</w:t>
      </w:r>
      <w:r w:rsidRPr="00441A75">
        <w:rPr>
          <w:vertAlign w:val="subscript"/>
        </w:rPr>
        <w:t>4</w:t>
      </w:r>
      <w:r>
        <w:t>H) using phenolphthalein as the indicator.  KHP is a weak acid and reacts with base in the following way:</w:t>
      </w:r>
    </w:p>
    <w:p w:rsidR="00B56525" w:rsidRDefault="00B56525" w:rsidP="00B56525"/>
    <w:p w:rsidR="00B56525" w:rsidRDefault="00B56525" w:rsidP="00B56525">
      <w:pPr>
        <w:jc w:val="center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0</wp:posOffset>
            </wp:positionV>
            <wp:extent cx="3597275" cy="224155"/>
            <wp:effectExtent l="19050" t="0" r="3175" b="0"/>
            <wp:wrapNone/>
            <wp:docPr id="54" name="Picture 54" descr="standard%20NaOH%20re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standard%20NaOH%20reac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525" w:rsidRDefault="00B56525" w:rsidP="00B56525">
      <w:pPr>
        <w:rPr>
          <w:b/>
        </w:rPr>
      </w:pPr>
    </w:p>
    <w:p w:rsidR="00B56525" w:rsidRDefault="00B56525" w:rsidP="00B56525">
      <w:pPr>
        <w:rPr>
          <w:b/>
        </w:rPr>
      </w:pPr>
    </w:p>
    <w:p w:rsidR="0051289C" w:rsidRDefault="0051289C" w:rsidP="00B56525">
      <w:pPr>
        <w:rPr>
          <w:b/>
        </w:rPr>
      </w:pPr>
      <w:r>
        <w:rPr>
          <w:b/>
        </w:rPr>
        <w:t>Pre-lab question:</w:t>
      </w:r>
    </w:p>
    <w:p w:rsidR="0051289C" w:rsidRPr="0051289C" w:rsidRDefault="0051289C" w:rsidP="00B56525">
      <w:r w:rsidRPr="0051289C">
        <w:t xml:space="preserve">Calculate the molarity of a solution of sodium hydroxide, </w:t>
      </w:r>
      <w:proofErr w:type="spellStart"/>
      <w:r w:rsidRPr="0051289C">
        <w:t>NaOH</w:t>
      </w:r>
      <w:proofErr w:type="spellEnd"/>
      <w:r w:rsidRPr="0051289C">
        <w:t xml:space="preserve">, if 23.65 </w:t>
      </w:r>
      <w:proofErr w:type="spellStart"/>
      <w:r w:rsidRPr="0051289C">
        <w:t>mL</w:t>
      </w:r>
      <w:proofErr w:type="spellEnd"/>
      <w:r w:rsidRPr="0051289C">
        <w:t xml:space="preserve"> of this solution is needed to neutralize 0.5632 g of potassium hydrogen phthalate (KHP).</w:t>
      </w:r>
    </w:p>
    <w:p w:rsidR="0051289C" w:rsidRDefault="0051289C" w:rsidP="00B56525">
      <w:pPr>
        <w:rPr>
          <w:b/>
        </w:rPr>
      </w:pPr>
    </w:p>
    <w:p w:rsidR="00B56525" w:rsidRDefault="00B56525" w:rsidP="00B56525">
      <w:pPr>
        <w:rPr>
          <w:b/>
        </w:rPr>
      </w:pPr>
      <w:r w:rsidRPr="00441A75">
        <w:rPr>
          <w:b/>
        </w:rPr>
        <w:t>To Standardize:</w:t>
      </w:r>
    </w:p>
    <w:p w:rsidR="00B56525" w:rsidRDefault="00B56525" w:rsidP="00B56525">
      <w:pPr>
        <w:rPr>
          <w:b/>
        </w:rPr>
      </w:pPr>
    </w:p>
    <w:p w:rsidR="00B56525" w:rsidRDefault="00B56525" w:rsidP="00B56525">
      <w:pPr>
        <w:numPr>
          <w:ilvl w:val="0"/>
          <w:numId w:val="1"/>
        </w:numPr>
      </w:pPr>
      <w:r>
        <w:t xml:space="preserve">Weigh ~0.8 g of dried KHP (MW = 204.23 g/mol) into an Erlenmeyer flask and dissolve in 50-75 </w:t>
      </w:r>
      <w:proofErr w:type="spellStart"/>
      <w:r>
        <w:t>mL</w:t>
      </w:r>
      <w:proofErr w:type="spellEnd"/>
      <w:r>
        <w:t xml:space="preserve"> of distilled water.  Record the amount of KHP and water used.</w:t>
      </w:r>
    </w:p>
    <w:p w:rsidR="00B56525" w:rsidRDefault="00B56525" w:rsidP="00B56525">
      <w:pPr>
        <w:numPr>
          <w:ilvl w:val="0"/>
          <w:numId w:val="1"/>
        </w:numPr>
      </w:pPr>
      <w:r>
        <w:t xml:space="preserve">Add 4 drops of indicator into the flask and titrate to the first permanent appearance of pink.  Near the endpoint, add the </w:t>
      </w:r>
      <w:proofErr w:type="spellStart"/>
      <w:r>
        <w:t>NaOH</w:t>
      </w:r>
      <w:proofErr w:type="spellEnd"/>
      <w:r>
        <w:t xml:space="preserve"> </w:t>
      </w:r>
      <w:proofErr w:type="spellStart"/>
      <w:r>
        <w:t>dropwise</w:t>
      </w:r>
      <w:proofErr w:type="spellEnd"/>
      <w:r>
        <w:t xml:space="preserve"> to determine the total volume most accurately.</w:t>
      </w:r>
    </w:p>
    <w:p w:rsidR="00B56525" w:rsidRDefault="00B56525" w:rsidP="00B56525">
      <w:pPr>
        <w:numPr>
          <w:ilvl w:val="0"/>
          <w:numId w:val="1"/>
        </w:numPr>
      </w:pPr>
      <w:r>
        <w:t xml:space="preserve">Calculate the concentration of </w:t>
      </w:r>
      <w:proofErr w:type="spellStart"/>
      <w:r>
        <w:t>NaOH</w:t>
      </w:r>
      <w:proofErr w:type="spellEnd"/>
      <w:r>
        <w:t xml:space="preserve"> in the following way:</w:t>
      </w:r>
    </w:p>
    <w:p w:rsidR="00B56525" w:rsidRDefault="00B56525" w:rsidP="00B56525"/>
    <w:p w:rsidR="00B56525" w:rsidRDefault="00B56525" w:rsidP="00B56525">
      <w:pPr>
        <w:ind w:left="1440"/>
      </w:pPr>
      <w:r>
        <w:t>Calculate Concentration of KHP:</w:t>
      </w:r>
    </w:p>
    <w:p w:rsidR="00B56525" w:rsidRDefault="00B56525" w:rsidP="00B56525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145415</wp:posOffset>
            </wp:positionV>
            <wp:extent cx="2656840" cy="1233805"/>
            <wp:effectExtent l="19050" t="0" r="0" b="0"/>
            <wp:wrapNone/>
            <wp:docPr id="55" name="Picture 55" descr="conc%20K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onc%20KH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>
      <w:r>
        <w:tab/>
      </w:r>
      <w:r>
        <w:tab/>
        <w:t xml:space="preserve">Calculate Concentration of </w:t>
      </w:r>
      <w:proofErr w:type="spellStart"/>
      <w:r>
        <w:t>NaOH</w:t>
      </w:r>
      <w:proofErr w:type="spellEnd"/>
      <w:r>
        <w:t>:</w:t>
      </w:r>
    </w:p>
    <w:p w:rsidR="00B56525" w:rsidRDefault="00B56525" w:rsidP="00B56525"/>
    <w:p w:rsidR="00B56525" w:rsidRDefault="00B56525" w:rsidP="00B56525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7620</wp:posOffset>
            </wp:positionV>
            <wp:extent cx="3019425" cy="1181735"/>
            <wp:effectExtent l="19050" t="0" r="9525" b="0"/>
            <wp:wrapNone/>
            <wp:docPr id="56" name="Picture 56" descr="conc%20Na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onc%20NaO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Default="00B56525" w:rsidP="00B56525"/>
    <w:p w:rsidR="00B56525" w:rsidRPr="00E466BD" w:rsidRDefault="00B56525" w:rsidP="00B56525">
      <w:pPr>
        <w:rPr>
          <w:b/>
        </w:rPr>
      </w:pPr>
      <w:r w:rsidRPr="00E466BD">
        <w:rPr>
          <w:b/>
        </w:rPr>
        <w:tab/>
        <w:t xml:space="preserve">Remember:  There are 1000 </w:t>
      </w:r>
      <w:proofErr w:type="spellStart"/>
      <w:r w:rsidRPr="00E466BD">
        <w:rPr>
          <w:b/>
        </w:rPr>
        <w:t>mL</w:t>
      </w:r>
      <w:proofErr w:type="spellEnd"/>
      <w:r w:rsidRPr="00E466BD">
        <w:rPr>
          <w:b/>
        </w:rPr>
        <w:t xml:space="preserve"> in </w:t>
      </w:r>
      <w:proofErr w:type="gramStart"/>
      <w:r w:rsidRPr="00E466BD">
        <w:rPr>
          <w:b/>
        </w:rPr>
        <w:t>a</w:t>
      </w:r>
      <w:proofErr w:type="gramEnd"/>
      <w:r w:rsidRPr="00E466BD">
        <w:rPr>
          <w:b/>
        </w:rPr>
        <w:t xml:space="preserve"> L and 1000 mg in a gram.</w:t>
      </w:r>
    </w:p>
    <w:p w:rsidR="00B56525" w:rsidRDefault="00B56525" w:rsidP="00B56525"/>
    <w:p w:rsidR="007F5C8E" w:rsidRPr="0051289C" w:rsidRDefault="00B56525" w:rsidP="0051289C">
      <w:pPr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t xml:space="preserve">Report the concentration of </w:t>
      </w:r>
      <w:proofErr w:type="spellStart"/>
      <w:r>
        <w:t>NaOH</w:t>
      </w:r>
      <w:proofErr w:type="spellEnd"/>
      <w:r>
        <w:t xml:space="preserve"> to the class.  An average number will be determined to give the most reliable value of </w:t>
      </w:r>
      <w:proofErr w:type="spellStart"/>
      <w:r>
        <w:t>NaOH</w:t>
      </w:r>
      <w:proofErr w:type="spellEnd"/>
      <w:r>
        <w:t xml:space="preserve"> concentration. </w:t>
      </w:r>
    </w:p>
    <w:sectPr w:rsidR="007F5C8E" w:rsidRPr="0051289C" w:rsidSect="00081DED">
      <w:pgSz w:w="12240" w:h="15840"/>
      <w:pgMar w:top="12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B46"/>
    <w:multiLevelType w:val="hybridMultilevel"/>
    <w:tmpl w:val="012657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C36D8C"/>
    <w:multiLevelType w:val="hybridMultilevel"/>
    <w:tmpl w:val="B2E6AE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8E2110"/>
    <w:multiLevelType w:val="hybridMultilevel"/>
    <w:tmpl w:val="0F988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1A3422D"/>
    <w:multiLevelType w:val="hybridMultilevel"/>
    <w:tmpl w:val="F0AECD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2E1FD6"/>
    <w:multiLevelType w:val="hybridMultilevel"/>
    <w:tmpl w:val="F74CDB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C47999"/>
    <w:multiLevelType w:val="hybridMultilevel"/>
    <w:tmpl w:val="110C6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3D5910"/>
    <w:multiLevelType w:val="hybridMultilevel"/>
    <w:tmpl w:val="18468B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FC1F4E"/>
    <w:multiLevelType w:val="hybridMultilevel"/>
    <w:tmpl w:val="62C452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4531EC"/>
    <w:multiLevelType w:val="hybridMultilevel"/>
    <w:tmpl w:val="5150D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DC1DB6"/>
    <w:multiLevelType w:val="hybridMultilevel"/>
    <w:tmpl w:val="E3D4D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637993"/>
    <w:multiLevelType w:val="hybridMultilevel"/>
    <w:tmpl w:val="B1F204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771008"/>
    <w:multiLevelType w:val="hybridMultilevel"/>
    <w:tmpl w:val="6A06DF4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9BF2B3C"/>
    <w:multiLevelType w:val="hybridMultilevel"/>
    <w:tmpl w:val="C690167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49F6541"/>
    <w:multiLevelType w:val="hybridMultilevel"/>
    <w:tmpl w:val="36B065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3D77E5"/>
    <w:multiLevelType w:val="hybridMultilevel"/>
    <w:tmpl w:val="9828C4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1"/>
  </w:num>
  <w:num w:numId="5">
    <w:abstractNumId w:val="6"/>
  </w:num>
  <w:num w:numId="6">
    <w:abstractNumId w:val="9"/>
  </w:num>
  <w:num w:numId="7">
    <w:abstractNumId w:val="3"/>
  </w:num>
  <w:num w:numId="8">
    <w:abstractNumId w:val="10"/>
  </w:num>
  <w:num w:numId="9">
    <w:abstractNumId w:val="8"/>
  </w:num>
  <w:num w:numId="10">
    <w:abstractNumId w:val="5"/>
  </w:num>
  <w:num w:numId="11">
    <w:abstractNumId w:val="12"/>
  </w:num>
  <w:num w:numId="12">
    <w:abstractNumId w:val="4"/>
  </w:num>
  <w:num w:numId="13">
    <w:abstractNumId w:val="7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30379F"/>
    <w:rsid w:val="00013194"/>
    <w:rsid w:val="00081D03"/>
    <w:rsid w:val="00081DED"/>
    <w:rsid w:val="0009255C"/>
    <w:rsid w:val="000A194D"/>
    <w:rsid w:val="000B4922"/>
    <w:rsid w:val="000E116F"/>
    <w:rsid w:val="000E5C2E"/>
    <w:rsid w:val="001001C1"/>
    <w:rsid w:val="001011BA"/>
    <w:rsid w:val="00133B72"/>
    <w:rsid w:val="0015419E"/>
    <w:rsid w:val="001605F7"/>
    <w:rsid w:val="001758D5"/>
    <w:rsid w:val="001C19F6"/>
    <w:rsid w:val="001F733A"/>
    <w:rsid w:val="002339D5"/>
    <w:rsid w:val="002505BD"/>
    <w:rsid w:val="002D1599"/>
    <w:rsid w:val="002F5D71"/>
    <w:rsid w:val="0030379F"/>
    <w:rsid w:val="00320500"/>
    <w:rsid w:val="00321E3F"/>
    <w:rsid w:val="00326FD4"/>
    <w:rsid w:val="003404E6"/>
    <w:rsid w:val="00360831"/>
    <w:rsid w:val="00385C21"/>
    <w:rsid w:val="003C20CF"/>
    <w:rsid w:val="003D0D8C"/>
    <w:rsid w:val="003D67A3"/>
    <w:rsid w:val="00441A75"/>
    <w:rsid w:val="00446837"/>
    <w:rsid w:val="00447470"/>
    <w:rsid w:val="00450125"/>
    <w:rsid w:val="00491A27"/>
    <w:rsid w:val="004B0BF9"/>
    <w:rsid w:val="004C48A6"/>
    <w:rsid w:val="00501911"/>
    <w:rsid w:val="0051289C"/>
    <w:rsid w:val="00554A2E"/>
    <w:rsid w:val="00557CE8"/>
    <w:rsid w:val="005851CD"/>
    <w:rsid w:val="005F21AC"/>
    <w:rsid w:val="00620B0C"/>
    <w:rsid w:val="006742A7"/>
    <w:rsid w:val="00685353"/>
    <w:rsid w:val="006970DA"/>
    <w:rsid w:val="006A252A"/>
    <w:rsid w:val="006B62AB"/>
    <w:rsid w:val="006D7E0B"/>
    <w:rsid w:val="007006A1"/>
    <w:rsid w:val="00720A7C"/>
    <w:rsid w:val="007A0BED"/>
    <w:rsid w:val="007E39E7"/>
    <w:rsid w:val="007E78A0"/>
    <w:rsid w:val="007F5C8E"/>
    <w:rsid w:val="008042D7"/>
    <w:rsid w:val="0083065E"/>
    <w:rsid w:val="008656FC"/>
    <w:rsid w:val="00874ACE"/>
    <w:rsid w:val="008B0A05"/>
    <w:rsid w:val="00935A5D"/>
    <w:rsid w:val="009442F5"/>
    <w:rsid w:val="0097240B"/>
    <w:rsid w:val="00981A2C"/>
    <w:rsid w:val="009828DA"/>
    <w:rsid w:val="00986500"/>
    <w:rsid w:val="009920D9"/>
    <w:rsid w:val="009D777C"/>
    <w:rsid w:val="009F600D"/>
    <w:rsid w:val="00A23500"/>
    <w:rsid w:val="00A73480"/>
    <w:rsid w:val="00AC6664"/>
    <w:rsid w:val="00AC6F4C"/>
    <w:rsid w:val="00B11904"/>
    <w:rsid w:val="00B15C41"/>
    <w:rsid w:val="00B56525"/>
    <w:rsid w:val="00B5789D"/>
    <w:rsid w:val="00B7043C"/>
    <w:rsid w:val="00B87DE3"/>
    <w:rsid w:val="00BB39C2"/>
    <w:rsid w:val="00C27D3F"/>
    <w:rsid w:val="00CC0B28"/>
    <w:rsid w:val="00D12824"/>
    <w:rsid w:val="00D51C6C"/>
    <w:rsid w:val="00DC18A0"/>
    <w:rsid w:val="00E22953"/>
    <w:rsid w:val="00E428AA"/>
    <w:rsid w:val="00E466BD"/>
    <w:rsid w:val="00E47FC7"/>
    <w:rsid w:val="00E63D1F"/>
    <w:rsid w:val="00E81466"/>
    <w:rsid w:val="00E96333"/>
    <w:rsid w:val="00EF64C5"/>
    <w:rsid w:val="00F1023F"/>
    <w:rsid w:val="00F15F52"/>
    <w:rsid w:val="00F94525"/>
    <w:rsid w:val="00FE616F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Web"/>
    <w:rsid w:val="002F5D71"/>
  </w:style>
  <w:style w:type="character" w:styleId="Hyperlink">
    <w:name w:val="Hyperlink"/>
    <w:basedOn w:val="DefaultParagraphFont"/>
    <w:rsid w:val="00A73480"/>
    <w:rPr>
      <w:color w:val="0000FF"/>
      <w:u w:val="single"/>
    </w:rPr>
  </w:style>
  <w:style w:type="paragraph" w:styleId="NormalWeb">
    <w:name w:val="Normal (Web)"/>
    <w:basedOn w:val="Normal"/>
    <w:rsid w:val="002F5D71"/>
  </w:style>
  <w:style w:type="paragraph" w:styleId="BalloonText">
    <w:name w:val="Balloon Text"/>
    <w:basedOn w:val="Normal"/>
    <w:semiHidden/>
    <w:rsid w:val="001011B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F5C8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1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004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0556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Standardizing a Sodium Hydroxide (NaOH) Solution</vt:lpstr>
    </vt:vector>
  </TitlesOfParts>
  <Company>Tillamook Cheese Eaters</Company>
  <LinksUpToDate>false</LinksUpToDate>
  <CharactersWithSpaces>2782</CharactersWithSpaces>
  <SharedDoc>false</SharedDoc>
  <HLinks>
    <vt:vector size="24" baseType="variant">
      <vt:variant>
        <vt:i4>458754</vt:i4>
      </vt:variant>
      <vt:variant>
        <vt:i4>9</vt:i4>
      </vt:variant>
      <vt:variant>
        <vt:i4>0</vt:i4>
      </vt:variant>
      <vt:variant>
        <vt:i4>5</vt:i4>
      </vt:variant>
      <vt:variant>
        <vt:lpwstr>http://csip.cornell.edu/</vt:lpwstr>
      </vt:variant>
      <vt:variant>
        <vt:lpwstr/>
      </vt:variant>
      <vt:variant>
        <vt:i4>655424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http://en.wikipedia.org/wiki/Titrant</vt:lpwstr>
      </vt:variant>
      <vt:variant>
        <vt:lpwstr/>
      </vt:variant>
      <vt:variant>
        <vt:i4>196675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http://en.wikipedia.org/wiki/Analyte</vt:lpwstr>
      </vt:variant>
      <vt:variant>
        <vt:lpwstr/>
      </vt:variant>
      <vt:variant>
        <vt:i4>524330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http://en.wikipedia.org/w/index.php?title=Complex_formation&amp;action=edit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Standardizing a Sodium Hydroxide (NaOH) Solution</dc:title>
  <dc:creator>Tamara Hanna</dc:creator>
  <cp:lastModifiedBy>ssexton</cp:lastModifiedBy>
  <cp:revision>2</cp:revision>
  <cp:lastPrinted>2013-09-09T14:04:00Z</cp:lastPrinted>
  <dcterms:created xsi:type="dcterms:W3CDTF">2013-09-09T14:05:00Z</dcterms:created>
  <dcterms:modified xsi:type="dcterms:W3CDTF">2013-09-09T14:05:00Z</dcterms:modified>
</cp:coreProperties>
</file>